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3809" w14:textId="7CFE4BEF" w:rsidR="002D2C6C" w:rsidRDefault="002D2C6C" w:rsidP="007D11B8">
      <w:pPr>
        <w:ind w:left="720" w:hanging="360"/>
      </w:pPr>
      <w:r>
        <w:t xml:space="preserve">Информация с </w:t>
      </w:r>
      <w:r w:rsidR="00956083">
        <w:t xml:space="preserve">сайта </w:t>
      </w:r>
      <w:r w:rsidR="00956083" w:rsidRPr="00956083">
        <w:t>clinicaltrials.gov</w:t>
      </w:r>
    </w:p>
    <w:p w14:paraId="267DAF84" w14:textId="43928333" w:rsidR="00FF228D" w:rsidRDefault="00FF228D" w:rsidP="00FF228D">
      <w:pPr>
        <w:pStyle w:val="a3"/>
        <w:ind w:left="1800"/>
      </w:pPr>
    </w:p>
    <w:p w14:paraId="66C00B1A" w14:textId="36F30C8A" w:rsidR="00254838" w:rsidRPr="00254838" w:rsidRDefault="00EE2B15" w:rsidP="00254838">
      <w:pPr>
        <w:pStyle w:val="a3"/>
        <w:numPr>
          <w:ilvl w:val="0"/>
          <w:numId w:val="17"/>
        </w:numPr>
        <w:rPr>
          <w:lang w:val="en-US"/>
        </w:rPr>
      </w:pPr>
      <w:r w:rsidRPr="00EE2B15">
        <w:rPr>
          <w:b/>
          <w:bCs/>
        </w:rPr>
        <w:t>Препарат</w:t>
      </w:r>
      <w:r w:rsidRPr="00EE2B15">
        <w:rPr>
          <w:b/>
          <w:bCs/>
          <w:lang w:val="en-US"/>
        </w:rPr>
        <w:t xml:space="preserve"> </w:t>
      </w:r>
      <w:r w:rsidRPr="00EE2B15">
        <w:rPr>
          <w:b/>
          <w:bCs/>
          <w:lang w:val="en-US"/>
        </w:rPr>
        <w:t>PF-06252616</w:t>
      </w:r>
      <w:r w:rsidRPr="00EE2B15">
        <w:rPr>
          <w:lang w:val="en-US"/>
        </w:rPr>
        <w:t xml:space="preserve"> - </w:t>
      </w:r>
      <w:hyperlink r:id="rId8" w:history="1">
        <w:r w:rsidR="00254838" w:rsidRPr="00254838">
          <w:rPr>
            <w:color w:val="0000FF"/>
            <w:u w:val="single"/>
            <w:lang w:val="en-US"/>
          </w:rPr>
          <w:t>A Trial of PF-06252616 in Ambulatory Participants With LGMD2I - Study Results - ClinicalTrials.gov</w:t>
        </w:r>
      </w:hyperlink>
    </w:p>
    <w:p w14:paraId="52D906AF" w14:textId="6AE2460E" w:rsidR="00254838" w:rsidRPr="00EE2B15" w:rsidRDefault="00254838" w:rsidP="00254838">
      <w:pPr>
        <w:pStyle w:val="a3"/>
        <w:rPr>
          <w:lang w:val="en-US"/>
        </w:rPr>
      </w:pPr>
    </w:p>
    <w:p w14:paraId="05A6892A" w14:textId="1F990F46" w:rsidR="00254838" w:rsidRDefault="00254838" w:rsidP="00254838">
      <w:pPr>
        <w:pStyle w:val="a3"/>
        <w:ind w:left="1416"/>
      </w:pPr>
      <w:r w:rsidRPr="00EE2B15">
        <w:rPr>
          <w:b/>
          <w:bCs/>
        </w:rPr>
        <w:t>Публикация</w:t>
      </w:r>
      <w:r w:rsidRPr="00EE2B15">
        <w:rPr>
          <w:b/>
          <w:bCs/>
          <w:lang w:val="en-US"/>
        </w:rPr>
        <w:t xml:space="preserve"> </w:t>
      </w:r>
      <w:r w:rsidRPr="00EE2B15">
        <w:rPr>
          <w:b/>
          <w:bCs/>
        </w:rPr>
        <w:t>с</w:t>
      </w:r>
      <w:r w:rsidRPr="00EE2B15">
        <w:rPr>
          <w:b/>
          <w:bCs/>
          <w:lang w:val="en-US"/>
        </w:rPr>
        <w:t xml:space="preserve"> </w:t>
      </w:r>
      <w:r w:rsidRPr="00EE2B15">
        <w:rPr>
          <w:b/>
          <w:bCs/>
        </w:rPr>
        <w:t>результатами</w:t>
      </w:r>
      <w:r w:rsidRPr="00254838">
        <w:rPr>
          <w:lang w:val="en-US"/>
        </w:rPr>
        <w:t xml:space="preserve">: </w:t>
      </w:r>
      <w:hyperlink r:id="rId9" w:history="1">
        <w:r w:rsidRPr="00254838">
          <w:rPr>
            <w:color w:val="0000FF"/>
            <w:u w:val="single"/>
            <w:lang w:val="en-US"/>
          </w:rPr>
          <w:t>Longitudinal functional and imaging outcome measures in FKRP limb-girdle muscular dystrophy - PubMed (nih.gov)</w:t>
        </w:r>
      </w:hyperlink>
    </w:p>
    <w:p w14:paraId="4DEBBE34" w14:textId="67ECBF8F" w:rsidR="00254838" w:rsidRDefault="00254838" w:rsidP="00254838">
      <w:pPr>
        <w:pStyle w:val="a3"/>
        <w:ind w:left="1416"/>
      </w:pPr>
    </w:p>
    <w:p w14:paraId="09A59F4F" w14:textId="77777777" w:rsidR="00254838" w:rsidRPr="00254838" w:rsidRDefault="00254838" w:rsidP="00254838">
      <w:pPr>
        <w:pStyle w:val="a3"/>
        <w:ind w:left="1416"/>
      </w:pPr>
      <w:r w:rsidRPr="00EE2B15">
        <w:rPr>
          <w:b/>
          <w:bCs/>
        </w:rPr>
        <w:t>Методы</w:t>
      </w:r>
      <w:r w:rsidRPr="00254838">
        <w:t xml:space="preserve">: Участники клинического исследования 2-й фазы оценивались в течение 4-месячного предварительного периода без лечения, чтобы оценить воспроизводимость и получить нормативные данные для временных функциональных тестов, силовых тестов, легочной функции и состава тела с помощью </w:t>
      </w:r>
      <w:r w:rsidRPr="00254838">
        <w:rPr>
          <w:lang w:val="en-US"/>
        </w:rPr>
        <w:t>DEXA</w:t>
      </w:r>
      <w:r w:rsidRPr="00254838">
        <w:t xml:space="preserve"> и МРТ всего тела. Новые алгоритмы глубокого обучения были использованы для анализа МРТ-сканов и количественной оценки мышечной, жировой и внутримышечной жировой инфильтрации в бедрах. Для оценки изменений в этих показателях использовались </w:t>
      </w:r>
      <w:r w:rsidRPr="00254838">
        <w:rPr>
          <w:lang w:val="en-US"/>
        </w:rPr>
        <w:t>T</w:t>
      </w:r>
      <w:r w:rsidRPr="00254838">
        <w:t>-тесты и подписанные ранговые тесты.</w:t>
      </w:r>
    </w:p>
    <w:p w14:paraId="31DD4AEE" w14:textId="77777777" w:rsidR="00254838" w:rsidRPr="00254838" w:rsidRDefault="00254838" w:rsidP="00254838">
      <w:pPr>
        <w:pStyle w:val="a3"/>
        <w:ind w:left="1416"/>
      </w:pPr>
    </w:p>
    <w:p w14:paraId="11904CE7" w14:textId="77777777" w:rsidR="00254838" w:rsidRPr="00254838" w:rsidRDefault="00254838" w:rsidP="00254838">
      <w:pPr>
        <w:pStyle w:val="a3"/>
        <w:ind w:left="1416"/>
      </w:pPr>
      <w:r w:rsidRPr="00EE2B15">
        <w:rPr>
          <w:b/>
          <w:bCs/>
        </w:rPr>
        <w:t>Результаты</w:t>
      </w:r>
      <w:r w:rsidRPr="00254838">
        <w:t xml:space="preserve">: Девятнадцать участников наблюдались во время вводного периода данного исследования. За 4-месячный период наблюдения не было отмечено значительных изменений в показателях силы, легочной функции и состава тела. Один временной функциональный показатель, подъем на 4 ступеньки, показал статистически значимую разницу за период наблюдения. Количественные оценки мышечной, жировой и внутримышечной жировой инфильтрации, полученные с помощью МРТ всего тела, значительно соответствовали оценкам состава тела, силы и временных функциональных показателей, полученным с помощью </w:t>
      </w:r>
      <w:r w:rsidRPr="00254838">
        <w:rPr>
          <w:lang w:val="en-US"/>
        </w:rPr>
        <w:t>DEXA</w:t>
      </w:r>
      <w:r w:rsidRPr="00254838">
        <w:t>.</w:t>
      </w:r>
    </w:p>
    <w:p w14:paraId="67E2F57C" w14:textId="77777777" w:rsidR="00254838" w:rsidRPr="00254838" w:rsidRDefault="00254838" w:rsidP="00254838">
      <w:pPr>
        <w:pStyle w:val="a3"/>
        <w:ind w:left="1416"/>
      </w:pPr>
    </w:p>
    <w:p w14:paraId="08F07F66" w14:textId="77777777" w:rsidR="00254838" w:rsidRPr="00254838" w:rsidRDefault="00254838" w:rsidP="00254838">
      <w:pPr>
        <w:pStyle w:val="a3"/>
        <w:ind w:left="1416"/>
      </w:pPr>
      <w:r w:rsidRPr="00EE2B15">
        <w:rPr>
          <w:b/>
          <w:bCs/>
        </w:rPr>
        <w:t>Выводы</w:t>
      </w:r>
      <w:r w:rsidRPr="00254838">
        <w:t>: Мы описали нормативные данные и показатели воспроизводимости для нескольких показателей физической функции во взрослой популяции больных мышечной дистрофией ФКРП. Наш анализ показывает, что алгоритмы глубокого обучения могут быть использованы для количественной оценки здоровых и дистрофических мышц, видимых при визуализации всего тела.</w:t>
      </w:r>
    </w:p>
    <w:p w14:paraId="007DB5A8" w14:textId="3B92217B" w:rsidR="00254838" w:rsidRDefault="00254838" w:rsidP="00254838">
      <w:pPr>
        <w:pStyle w:val="a3"/>
      </w:pPr>
    </w:p>
    <w:p w14:paraId="701B37A9" w14:textId="4B8DC556" w:rsidR="00254838" w:rsidRPr="001B3EE8" w:rsidRDefault="00EE2B15" w:rsidP="00254838">
      <w:pPr>
        <w:pStyle w:val="a3"/>
        <w:numPr>
          <w:ilvl w:val="0"/>
          <w:numId w:val="17"/>
        </w:numPr>
        <w:ind w:left="709"/>
        <w:rPr>
          <w:lang w:val="en-US"/>
        </w:rPr>
      </w:pPr>
      <w:r w:rsidRPr="00EE2B15">
        <w:rPr>
          <w:b/>
          <w:bCs/>
        </w:rPr>
        <w:t>Препарат</w:t>
      </w:r>
      <w:r w:rsidRPr="00EE2B15">
        <w:rPr>
          <w:b/>
          <w:bCs/>
          <w:lang w:val="en-US"/>
        </w:rPr>
        <w:t xml:space="preserve"> </w:t>
      </w:r>
      <w:r w:rsidRPr="00EE2B15">
        <w:rPr>
          <w:b/>
          <w:bCs/>
          <w:lang w:val="en-US"/>
        </w:rPr>
        <w:t>BBP-418</w:t>
      </w:r>
      <w:r w:rsidRPr="00EE2B15">
        <w:rPr>
          <w:lang w:val="en-US"/>
        </w:rPr>
        <w:t xml:space="preserve"> - </w:t>
      </w:r>
      <w:hyperlink r:id="rId10" w:history="1">
        <w:r w:rsidRPr="00EE2B15">
          <w:rPr>
            <w:color w:val="0000FF"/>
            <w:u w:val="single"/>
            <w:lang w:val="en-US"/>
          </w:rPr>
          <w:t>Study of BBP-418 in Patients With LGMD2I - Full Text View - ClinicalTrials.gov</w:t>
        </w:r>
      </w:hyperlink>
    </w:p>
    <w:p w14:paraId="18D84E3C" w14:textId="77777777" w:rsidR="001B3EE8" w:rsidRPr="00EE2B15" w:rsidRDefault="001B3EE8" w:rsidP="001B3EE8">
      <w:pPr>
        <w:pStyle w:val="a3"/>
        <w:ind w:left="709"/>
        <w:rPr>
          <w:lang w:val="en-US"/>
        </w:rPr>
      </w:pPr>
    </w:p>
    <w:p w14:paraId="399A2234" w14:textId="700A1DB8" w:rsidR="001B3EE8" w:rsidRDefault="00EE2B15" w:rsidP="001B3EE8">
      <w:pPr>
        <w:pStyle w:val="a3"/>
        <w:ind w:left="1416"/>
      </w:pPr>
      <w:r>
        <w:t xml:space="preserve">Публикаций </w:t>
      </w:r>
      <w:r w:rsidR="001B3EE8">
        <w:t xml:space="preserve">результатов </w:t>
      </w:r>
      <w:r>
        <w:t>нет, набор пациентов завершен, фаза испытаний 2</w:t>
      </w:r>
      <w:r w:rsidR="001B3EE8">
        <w:t>.</w:t>
      </w:r>
    </w:p>
    <w:p w14:paraId="0E4AEC1C" w14:textId="2E122C19" w:rsidR="001B3EE8" w:rsidRDefault="001B3EE8" w:rsidP="001B3EE8">
      <w:pPr>
        <w:pStyle w:val="a3"/>
        <w:ind w:left="1416"/>
      </w:pPr>
      <w:r w:rsidRPr="001B3EE8">
        <w:rPr>
          <w:b/>
          <w:bCs/>
        </w:rPr>
        <w:t>Предполагаемая дата завершения испытаний:</w:t>
      </w:r>
      <w:r>
        <w:t xml:space="preserve"> 1 ноября 2026 года.</w:t>
      </w:r>
    </w:p>
    <w:p w14:paraId="73F04DBB" w14:textId="5B4A8769" w:rsidR="001B3EE8" w:rsidRDefault="001B3EE8" w:rsidP="001B3EE8">
      <w:pPr>
        <w:pStyle w:val="a3"/>
        <w:ind w:left="1416"/>
      </w:pPr>
      <w:r w:rsidRPr="001B3EE8">
        <w:rPr>
          <w:b/>
          <w:bCs/>
        </w:rPr>
        <w:t>Описание препарата</w:t>
      </w:r>
      <w:r>
        <w:t xml:space="preserve">: </w:t>
      </w:r>
      <w:r>
        <w:t>BBP-418 нацелен на молекулярный дефект в самом источнике, поставляя избыточный субстрат мутантному ферменту, тем самым усиливая гликозилирование мышечного α-</w:t>
      </w:r>
      <w:proofErr w:type="spellStart"/>
      <w:r>
        <w:t>дистрогликана</w:t>
      </w:r>
      <w:proofErr w:type="spellEnd"/>
      <w:r>
        <w:t>. Препарат BBP-418 будет упакован в саше и предоставлен в картонной коробке для использования в клинике и дома.</w:t>
      </w:r>
    </w:p>
    <w:p w14:paraId="5539BBE2" w14:textId="25E9682D" w:rsidR="005967E9" w:rsidRDefault="005967E9" w:rsidP="005967E9">
      <w:pPr>
        <w:pStyle w:val="a3"/>
        <w:ind w:left="1416"/>
      </w:pPr>
      <w:r>
        <w:rPr>
          <w:b/>
          <w:bCs/>
        </w:rPr>
        <w:t>Метод</w:t>
      </w:r>
      <w:r w:rsidRPr="005967E9">
        <w:t>:</w:t>
      </w:r>
      <w:r>
        <w:t xml:space="preserve"> </w:t>
      </w:r>
      <w:r w:rsidRPr="001133AA">
        <w:rPr>
          <w:i/>
          <w:iCs/>
        </w:rPr>
        <w:t>Когорта 1</w:t>
      </w:r>
      <w:r>
        <w:t xml:space="preserve"> (с</w:t>
      </w:r>
      <w:r>
        <w:t>убъекты будут получать 6 грамм BBP-418 один раз в день x 90 дней, затем 12 грамм BBP-418 дважды в день с интервалом не менее 8 часов</w:t>
      </w:r>
      <w:r>
        <w:t xml:space="preserve"> </w:t>
      </w:r>
      <w:r>
        <w:t>ежедневно до завершения исследования</w:t>
      </w:r>
      <w:r>
        <w:t xml:space="preserve">), </w:t>
      </w:r>
      <w:r w:rsidRPr="001133AA">
        <w:rPr>
          <w:i/>
          <w:iCs/>
        </w:rPr>
        <w:t>Когорта 2</w:t>
      </w:r>
      <w:r>
        <w:t xml:space="preserve"> (с</w:t>
      </w:r>
      <w:r>
        <w:t>убъекты будут получать 6 грамм BBP-418 дважды в день с интервалом не менее 8 часов x 90 дней, затем 12 грамм BBP-418 ежедневно до завершения исследования</w:t>
      </w:r>
      <w:r>
        <w:t xml:space="preserve">), </w:t>
      </w:r>
      <w:r w:rsidRPr="001133AA">
        <w:rPr>
          <w:i/>
          <w:iCs/>
        </w:rPr>
        <w:t>Когорта 3</w:t>
      </w:r>
      <w:r>
        <w:t xml:space="preserve"> (с</w:t>
      </w:r>
      <w:r>
        <w:t xml:space="preserve">убъекты </w:t>
      </w:r>
      <w:r>
        <w:lastRenderedPageBreak/>
        <w:t>будут получать 12 грамм BBP-418 дважды в день с интервалом не менее 8 часов x 90 дней, затем 12 грамм BBP-418 ежедневно до завершения исследования</w:t>
      </w:r>
      <w:r>
        <w:t>)</w:t>
      </w:r>
    </w:p>
    <w:p w14:paraId="0D7CB233" w14:textId="03CD1411" w:rsidR="001B3EE8" w:rsidRDefault="001B3EE8" w:rsidP="001B3EE8">
      <w:pPr>
        <w:pStyle w:val="a3"/>
        <w:ind w:left="1416"/>
      </w:pPr>
    </w:p>
    <w:p w14:paraId="6D8772DD" w14:textId="4FA23949" w:rsidR="001B3EE8" w:rsidRPr="001B3EE8" w:rsidRDefault="001B3EE8" w:rsidP="001B3EE8">
      <w:pPr>
        <w:pStyle w:val="a3"/>
        <w:numPr>
          <w:ilvl w:val="0"/>
          <w:numId w:val="17"/>
        </w:numPr>
        <w:rPr>
          <w:lang w:val="en-US"/>
        </w:rPr>
      </w:pPr>
      <w:r w:rsidRPr="001B3EE8">
        <w:rPr>
          <w:b/>
          <w:bCs/>
        </w:rPr>
        <w:t>Препарат</w:t>
      </w:r>
      <w:r w:rsidRPr="001B3EE8">
        <w:rPr>
          <w:b/>
          <w:bCs/>
          <w:lang w:val="en-US"/>
        </w:rPr>
        <w:t xml:space="preserve"> </w:t>
      </w:r>
      <w:r w:rsidRPr="001B3EE8">
        <w:rPr>
          <w:b/>
          <w:bCs/>
          <w:lang w:val="en-US"/>
        </w:rPr>
        <w:t>Deflazacort (</w:t>
      </w:r>
      <w:proofErr w:type="spellStart"/>
      <w:r w:rsidRPr="001B3EE8">
        <w:rPr>
          <w:b/>
          <w:bCs/>
          <w:lang w:val="en-US"/>
        </w:rPr>
        <w:t>Emflaza</w:t>
      </w:r>
      <w:proofErr w:type="spellEnd"/>
      <w:r w:rsidRPr="001B3EE8">
        <w:rPr>
          <w:b/>
          <w:bCs/>
          <w:lang w:val="en-US"/>
        </w:rPr>
        <w:t>®)</w:t>
      </w:r>
      <w:r w:rsidRPr="001B3EE8">
        <w:rPr>
          <w:b/>
          <w:bCs/>
          <w:lang w:val="en-US"/>
        </w:rPr>
        <w:t xml:space="preserve"> </w:t>
      </w:r>
      <w:r w:rsidRPr="001B3EE8">
        <w:rPr>
          <w:lang w:val="en-US"/>
        </w:rPr>
        <w:t xml:space="preserve">- </w:t>
      </w:r>
      <w:hyperlink r:id="rId11" w:history="1">
        <w:r w:rsidRPr="001B3EE8">
          <w:rPr>
            <w:color w:val="0000FF"/>
            <w:u w:val="single"/>
            <w:lang w:val="en-US"/>
          </w:rPr>
          <w:t>A Study of Deflazacort (</w:t>
        </w:r>
        <w:proofErr w:type="spellStart"/>
        <w:r w:rsidRPr="001B3EE8">
          <w:rPr>
            <w:color w:val="0000FF"/>
            <w:u w:val="single"/>
            <w:lang w:val="en-US"/>
          </w:rPr>
          <w:t>Emflaza</w:t>
        </w:r>
        <w:proofErr w:type="spellEnd"/>
        <w:r w:rsidRPr="001B3EE8">
          <w:rPr>
            <w:color w:val="0000FF"/>
            <w:u w:val="single"/>
            <w:lang w:val="en-US"/>
          </w:rPr>
          <w:t>®) in Participants With Limb-Girdle Muscular Dystrophy 2I (LGMD2I) - Tabular View - ClinicalTrials.gov</w:t>
        </w:r>
      </w:hyperlink>
    </w:p>
    <w:p w14:paraId="1D7C7B2A" w14:textId="3D3E0D0B" w:rsidR="001B3EE8" w:rsidRDefault="001B3EE8" w:rsidP="001B3EE8">
      <w:pPr>
        <w:pStyle w:val="a3"/>
        <w:ind w:left="1416"/>
        <w:rPr>
          <w:lang w:val="en-US"/>
        </w:rPr>
      </w:pPr>
    </w:p>
    <w:p w14:paraId="10873026" w14:textId="65DC9B9B" w:rsidR="001B3EE8" w:rsidRDefault="004A2FDC" w:rsidP="001B3EE8">
      <w:pPr>
        <w:pStyle w:val="a3"/>
        <w:ind w:left="1416"/>
      </w:pPr>
      <w:r>
        <w:t>Публикаций результатов нет, исследование завершено</w:t>
      </w:r>
      <w:r w:rsidR="005967E9">
        <w:t xml:space="preserve"> (</w:t>
      </w:r>
      <w:r w:rsidR="005967E9" w:rsidRPr="005967E9">
        <w:rPr>
          <w:b/>
          <w:bCs/>
        </w:rPr>
        <w:t>предполагаемая дата завершения исследования 31 января 2021 года</w:t>
      </w:r>
      <w:r w:rsidR="005967E9">
        <w:t>)</w:t>
      </w:r>
    </w:p>
    <w:p w14:paraId="4A47ABD0" w14:textId="45CDDAB3" w:rsidR="004A2FDC" w:rsidRPr="004A2FDC" w:rsidRDefault="004A2FDC" w:rsidP="001B3EE8">
      <w:pPr>
        <w:pStyle w:val="a3"/>
        <w:ind w:left="1416"/>
      </w:pPr>
      <w:r w:rsidRPr="005967E9">
        <w:rPr>
          <w:b/>
          <w:bCs/>
        </w:rPr>
        <w:t>Метод</w:t>
      </w:r>
      <w:r>
        <w:t xml:space="preserve">: </w:t>
      </w:r>
      <w:r w:rsidRPr="004A2FDC">
        <w:t>скрининг и 3 дополнительных визита (через 1, 13 и 26 недель лечения).</w:t>
      </w:r>
      <w:r w:rsidRPr="004A2FDC">
        <w:t xml:space="preserve"> </w:t>
      </w:r>
      <w:r w:rsidRPr="004A2FDC">
        <w:t xml:space="preserve">Участники </w:t>
      </w:r>
      <w:r>
        <w:t>получали</w:t>
      </w:r>
      <w:r w:rsidRPr="004A2FDC">
        <w:t xml:space="preserve"> </w:t>
      </w:r>
      <w:proofErr w:type="spellStart"/>
      <w:r w:rsidRPr="004A2FDC">
        <w:t>дефлазакорт</w:t>
      </w:r>
      <w:proofErr w:type="spellEnd"/>
      <w:r w:rsidRPr="004A2FDC">
        <w:t xml:space="preserve"> 0,6 мг/кг/день перорально. Доза </w:t>
      </w:r>
      <w:r>
        <w:t>могла</w:t>
      </w:r>
      <w:r w:rsidRPr="004A2FDC">
        <w:t xml:space="preserve"> быть снижена в случае проблем с переносимостью.</w:t>
      </w:r>
    </w:p>
    <w:p w14:paraId="58B2B825" w14:textId="2EB0B481" w:rsidR="00EE2B15" w:rsidRPr="004A2FDC" w:rsidRDefault="00EE2B15" w:rsidP="001B3EE8"/>
    <w:sectPr w:rsidR="00EE2B15" w:rsidRPr="004A2F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4C3FC" w14:textId="77777777" w:rsidR="00A15CE3" w:rsidRDefault="00A15CE3" w:rsidP="00113302">
      <w:pPr>
        <w:spacing w:after="0" w:line="240" w:lineRule="auto"/>
      </w:pPr>
      <w:r>
        <w:separator/>
      </w:r>
    </w:p>
  </w:endnote>
  <w:endnote w:type="continuationSeparator" w:id="0">
    <w:p w14:paraId="00D1E9C2" w14:textId="77777777" w:rsidR="00A15CE3" w:rsidRDefault="00A15CE3" w:rsidP="0011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26AE" w14:textId="77777777" w:rsidR="00113302" w:rsidRDefault="0011330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6ACE" w14:textId="77777777" w:rsidR="00113302" w:rsidRDefault="001133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5DFA" w14:textId="77777777" w:rsidR="00113302" w:rsidRDefault="001133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F15B" w14:textId="77777777" w:rsidR="00A15CE3" w:rsidRDefault="00A15CE3" w:rsidP="00113302">
      <w:pPr>
        <w:spacing w:after="0" w:line="240" w:lineRule="auto"/>
      </w:pPr>
      <w:r>
        <w:separator/>
      </w:r>
    </w:p>
  </w:footnote>
  <w:footnote w:type="continuationSeparator" w:id="0">
    <w:p w14:paraId="15F949D5" w14:textId="77777777" w:rsidR="00A15CE3" w:rsidRDefault="00A15CE3" w:rsidP="0011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C8AE" w14:textId="4584A637" w:rsidR="00113302" w:rsidRDefault="00A15CE3">
    <w:pPr>
      <w:pStyle w:val="a6"/>
    </w:pPr>
    <w:r>
      <w:rPr>
        <w:noProof/>
      </w:rPr>
      <w:pict w14:anchorId="642A4A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885485" o:spid="_x0000_s1026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подготовлено Бережной Е.Н. (МОО &quot;Проект Ай-Мио&quot;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3C5C" w14:textId="773AEED3" w:rsidR="00113302" w:rsidRDefault="00A15CE3">
    <w:pPr>
      <w:pStyle w:val="a6"/>
    </w:pPr>
    <w:r>
      <w:rPr>
        <w:noProof/>
      </w:rPr>
      <w:pict w14:anchorId="3312E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885486" o:spid="_x0000_s1027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подготовлено Бережной Е.Н. (МОО &quot;Проект Ай-Мио&quot;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5628" w14:textId="0995262F" w:rsidR="00113302" w:rsidRDefault="00A15CE3">
    <w:pPr>
      <w:pStyle w:val="a6"/>
    </w:pPr>
    <w:r>
      <w:rPr>
        <w:noProof/>
      </w:rPr>
      <w:pict w14:anchorId="0A4B66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885484" o:spid="_x0000_s1025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подготовлено Бережной Е.Н. (МОО &quot;Проект Ай-Мио&quot;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E09"/>
    <w:multiLevelType w:val="hybridMultilevel"/>
    <w:tmpl w:val="81E0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08FA"/>
    <w:multiLevelType w:val="hybridMultilevel"/>
    <w:tmpl w:val="39585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DAE"/>
    <w:multiLevelType w:val="hybridMultilevel"/>
    <w:tmpl w:val="CC22F18A"/>
    <w:lvl w:ilvl="0" w:tplc="0419000F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E4075"/>
    <w:multiLevelType w:val="hybridMultilevel"/>
    <w:tmpl w:val="4E8E135E"/>
    <w:lvl w:ilvl="0" w:tplc="041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4" w15:restartNumberingAfterBreak="0">
    <w:nsid w:val="25817184"/>
    <w:multiLevelType w:val="hybridMultilevel"/>
    <w:tmpl w:val="E1A6173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46ABE"/>
    <w:multiLevelType w:val="hybridMultilevel"/>
    <w:tmpl w:val="FD30E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16609A"/>
    <w:multiLevelType w:val="hybridMultilevel"/>
    <w:tmpl w:val="BD725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D480A"/>
    <w:multiLevelType w:val="hybridMultilevel"/>
    <w:tmpl w:val="DA6CD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BE316B"/>
    <w:multiLevelType w:val="hybridMultilevel"/>
    <w:tmpl w:val="2C3C6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8A1B86"/>
    <w:multiLevelType w:val="hybridMultilevel"/>
    <w:tmpl w:val="11FAE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31320B"/>
    <w:multiLevelType w:val="hybridMultilevel"/>
    <w:tmpl w:val="B9D0D7F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C407163"/>
    <w:multiLevelType w:val="hybridMultilevel"/>
    <w:tmpl w:val="48C413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496D97"/>
    <w:multiLevelType w:val="hybridMultilevel"/>
    <w:tmpl w:val="08504F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DA4113"/>
    <w:multiLevelType w:val="hybridMultilevel"/>
    <w:tmpl w:val="8DB28E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04AB1"/>
    <w:multiLevelType w:val="hybridMultilevel"/>
    <w:tmpl w:val="BC84B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E85CE3"/>
    <w:multiLevelType w:val="hybridMultilevel"/>
    <w:tmpl w:val="078CE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751806"/>
    <w:multiLevelType w:val="hybridMultilevel"/>
    <w:tmpl w:val="009CC0D0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12"/>
  </w:num>
  <w:num w:numId="9">
    <w:abstractNumId w:val="3"/>
  </w:num>
  <w:num w:numId="10">
    <w:abstractNumId w:val="15"/>
  </w:num>
  <w:num w:numId="11">
    <w:abstractNumId w:val="10"/>
  </w:num>
  <w:num w:numId="12">
    <w:abstractNumId w:val="7"/>
  </w:num>
  <w:num w:numId="13">
    <w:abstractNumId w:val="13"/>
  </w:num>
  <w:num w:numId="14">
    <w:abstractNumId w:val="2"/>
  </w:num>
  <w:num w:numId="15">
    <w:abstractNumId w:val="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16"/>
    <w:rsid w:val="00020555"/>
    <w:rsid w:val="0002352F"/>
    <w:rsid w:val="0004182C"/>
    <w:rsid w:val="000512EC"/>
    <w:rsid w:val="00063909"/>
    <w:rsid w:val="00064741"/>
    <w:rsid w:val="0007192F"/>
    <w:rsid w:val="00093FFE"/>
    <w:rsid w:val="000C3D5C"/>
    <w:rsid w:val="00112974"/>
    <w:rsid w:val="00113302"/>
    <w:rsid w:val="001133AA"/>
    <w:rsid w:val="001576F8"/>
    <w:rsid w:val="00190E41"/>
    <w:rsid w:val="00195AE1"/>
    <w:rsid w:val="001B3EE8"/>
    <w:rsid w:val="001C2284"/>
    <w:rsid w:val="001D4030"/>
    <w:rsid w:val="001D663C"/>
    <w:rsid w:val="001F1EC1"/>
    <w:rsid w:val="001F7443"/>
    <w:rsid w:val="00245C4E"/>
    <w:rsid w:val="00253FB4"/>
    <w:rsid w:val="00254838"/>
    <w:rsid w:val="0025544D"/>
    <w:rsid w:val="00264E11"/>
    <w:rsid w:val="00287FE8"/>
    <w:rsid w:val="00292CAB"/>
    <w:rsid w:val="002A3395"/>
    <w:rsid w:val="002B2A36"/>
    <w:rsid w:val="002B69F7"/>
    <w:rsid w:val="002C3042"/>
    <w:rsid w:val="002D2C6C"/>
    <w:rsid w:val="002E11F5"/>
    <w:rsid w:val="002E4DC6"/>
    <w:rsid w:val="00315821"/>
    <w:rsid w:val="00331CA2"/>
    <w:rsid w:val="00366289"/>
    <w:rsid w:val="0037422F"/>
    <w:rsid w:val="00380C2D"/>
    <w:rsid w:val="003829E3"/>
    <w:rsid w:val="003A7D7F"/>
    <w:rsid w:val="003B1242"/>
    <w:rsid w:val="003B535A"/>
    <w:rsid w:val="003C70CA"/>
    <w:rsid w:val="003F2383"/>
    <w:rsid w:val="00424467"/>
    <w:rsid w:val="00451CA3"/>
    <w:rsid w:val="0048638A"/>
    <w:rsid w:val="00486DA1"/>
    <w:rsid w:val="004929A5"/>
    <w:rsid w:val="004960C0"/>
    <w:rsid w:val="0049658D"/>
    <w:rsid w:val="004A2FDC"/>
    <w:rsid w:val="004B2599"/>
    <w:rsid w:val="00501829"/>
    <w:rsid w:val="00503452"/>
    <w:rsid w:val="00533BA9"/>
    <w:rsid w:val="00577610"/>
    <w:rsid w:val="00585042"/>
    <w:rsid w:val="005967E9"/>
    <w:rsid w:val="005A10B5"/>
    <w:rsid w:val="005D3812"/>
    <w:rsid w:val="005E5D4B"/>
    <w:rsid w:val="00620DB4"/>
    <w:rsid w:val="00636F70"/>
    <w:rsid w:val="00670760"/>
    <w:rsid w:val="006827F1"/>
    <w:rsid w:val="006B63EF"/>
    <w:rsid w:val="006E6949"/>
    <w:rsid w:val="006E7C9E"/>
    <w:rsid w:val="006F285A"/>
    <w:rsid w:val="006F29E4"/>
    <w:rsid w:val="00706ED0"/>
    <w:rsid w:val="007370A4"/>
    <w:rsid w:val="00746699"/>
    <w:rsid w:val="00757ECE"/>
    <w:rsid w:val="0077502F"/>
    <w:rsid w:val="00775038"/>
    <w:rsid w:val="007836E4"/>
    <w:rsid w:val="007A7B53"/>
    <w:rsid w:val="007B3154"/>
    <w:rsid w:val="007B4ADA"/>
    <w:rsid w:val="007D11B8"/>
    <w:rsid w:val="00813DA2"/>
    <w:rsid w:val="008266ED"/>
    <w:rsid w:val="00835B16"/>
    <w:rsid w:val="00855D3C"/>
    <w:rsid w:val="00875CCC"/>
    <w:rsid w:val="00876210"/>
    <w:rsid w:val="00891C86"/>
    <w:rsid w:val="00893342"/>
    <w:rsid w:val="008C1AD0"/>
    <w:rsid w:val="008E59BC"/>
    <w:rsid w:val="008E5E97"/>
    <w:rsid w:val="008E7750"/>
    <w:rsid w:val="0093526C"/>
    <w:rsid w:val="00940BD2"/>
    <w:rsid w:val="00950F29"/>
    <w:rsid w:val="00951496"/>
    <w:rsid w:val="00956083"/>
    <w:rsid w:val="009A5341"/>
    <w:rsid w:val="009A6A45"/>
    <w:rsid w:val="009B26DC"/>
    <w:rsid w:val="009D0873"/>
    <w:rsid w:val="009E2176"/>
    <w:rsid w:val="009F3B13"/>
    <w:rsid w:val="00A15CE3"/>
    <w:rsid w:val="00A15CFE"/>
    <w:rsid w:val="00A53C13"/>
    <w:rsid w:val="00A62629"/>
    <w:rsid w:val="00A62AA7"/>
    <w:rsid w:val="00A714D9"/>
    <w:rsid w:val="00A71BCD"/>
    <w:rsid w:val="00AA769A"/>
    <w:rsid w:val="00AC4AAD"/>
    <w:rsid w:val="00AE7602"/>
    <w:rsid w:val="00B477AF"/>
    <w:rsid w:val="00B60BA9"/>
    <w:rsid w:val="00B72A04"/>
    <w:rsid w:val="00B8300C"/>
    <w:rsid w:val="00BB6621"/>
    <w:rsid w:val="00BE23DC"/>
    <w:rsid w:val="00BF2821"/>
    <w:rsid w:val="00BF305C"/>
    <w:rsid w:val="00C011AC"/>
    <w:rsid w:val="00C179C1"/>
    <w:rsid w:val="00C26149"/>
    <w:rsid w:val="00C35939"/>
    <w:rsid w:val="00C60DA0"/>
    <w:rsid w:val="00CA05B7"/>
    <w:rsid w:val="00CB710C"/>
    <w:rsid w:val="00CC397B"/>
    <w:rsid w:val="00CC3C16"/>
    <w:rsid w:val="00CD2E56"/>
    <w:rsid w:val="00D01E61"/>
    <w:rsid w:val="00D15DC6"/>
    <w:rsid w:val="00D306F3"/>
    <w:rsid w:val="00D3202E"/>
    <w:rsid w:val="00D449CE"/>
    <w:rsid w:val="00D50679"/>
    <w:rsid w:val="00D50FEC"/>
    <w:rsid w:val="00D554BE"/>
    <w:rsid w:val="00D578FB"/>
    <w:rsid w:val="00D62CB4"/>
    <w:rsid w:val="00D675CE"/>
    <w:rsid w:val="00D92B77"/>
    <w:rsid w:val="00DB0111"/>
    <w:rsid w:val="00DB2BCE"/>
    <w:rsid w:val="00DC2009"/>
    <w:rsid w:val="00DC2345"/>
    <w:rsid w:val="00DD77F0"/>
    <w:rsid w:val="00DE3B88"/>
    <w:rsid w:val="00E143EF"/>
    <w:rsid w:val="00E15EE7"/>
    <w:rsid w:val="00E2232A"/>
    <w:rsid w:val="00E37D1E"/>
    <w:rsid w:val="00E53C91"/>
    <w:rsid w:val="00E633A2"/>
    <w:rsid w:val="00E7511C"/>
    <w:rsid w:val="00E84A38"/>
    <w:rsid w:val="00EB545D"/>
    <w:rsid w:val="00EC0F18"/>
    <w:rsid w:val="00EC5686"/>
    <w:rsid w:val="00EE2B15"/>
    <w:rsid w:val="00EF7AE6"/>
    <w:rsid w:val="00F011DC"/>
    <w:rsid w:val="00F02AE5"/>
    <w:rsid w:val="00F11D22"/>
    <w:rsid w:val="00F20D31"/>
    <w:rsid w:val="00F27BA2"/>
    <w:rsid w:val="00F44C2B"/>
    <w:rsid w:val="00F66B27"/>
    <w:rsid w:val="00F95003"/>
    <w:rsid w:val="00FD7922"/>
    <w:rsid w:val="00FE2276"/>
    <w:rsid w:val="00FF0A21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0555D"/>
  <w15:chartTrackingRefBased/>
  <w15:docId w15:val="{16BD7F5E-9635-43A7-B30B-88D269E8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6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26DC"/>
    <w:rPr>
      <w:color w:val="605E5C"/>
      <w:shd w:val="clear" w:color="auto" w:fill="E1DFDD"/>
    </w:rPr>
  </w:style>
  <w:style w:type="character" w:customStyle="1" w:styleId="hitinf">
    <w:name w:val="hit_inf"/>
    <w:basedOn w:val="a0"/>
    <w:rsid w:val="009A6A45"/>
  </w:style>
  <w:style w:type="paragraph" w:styleId="a6">
    <w:name w:val="header"/>
    <w:basedOn w:val="a"/>
    <w:link w:val="a7"/>
    <w:uiPriority w:val="99"/>
    <w:unhideWhenUsed/>
    <w:rsid w:val="0011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302"/>
  </w:style>
  <w:style w:type="paragraph" w:styleId="a8">
    <w:name w:val="footer"/>
    <w:basedOn w:val="a"/>
    <w:link w:val="a9"/>
    <w:uiPriority w:val="99"/>
    <w:unhideWhenUsed/>
    <w:rsid w:val="0011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302"/>
  </w:style>
  <w:style w:type="character" w:styleId="aa">
    <w:name w:val="FollowedHyperlink"/>
    <w:basedOn w:val="a0"/>
    <w:uiPriority w:val="99"/>
    <w:semiHidden/>
    <w:unhideWhenUsed/>
    <w:rsid w:val="00451C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.gov/ct2/show/results/NCT02841267?cond=LGMD2I&amp;draw=2&amp;rank=1&amp;view=result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inicaltrials.gov/ct2/show/record/NCT03783923?cond=LGMD2I&amp;draw=2&amp;rank=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linicaltrials.gov/ct2/show/NCT04800874?cond=LGMD2I&amp;draw=2&amp;rank=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2429923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2375-597F-4192-9C22-30476A7C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Чернец</dc:creator>
  <cp:keywords/>
  <dc:description/>
  <cp:lastModifiedBy>Екатерина Чернец</cp:lastModifiedBy>
  <cp:revision>163</cp:revision>
  <dcterms:created xsi:type="dcterms:W3CDTF">2021-12-16T08:41:00Z</dcterms:created>
  <dcterms:modified xsi:type="dcterms:W3CDTF">2022-01-21T12:17:00Z</dcterms:modified>
</cp:coreProperties>
</file>